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CF" w:rsidRDefault="004F41CF" w:rsidP="004F41CF">
      <w:pPr>
        <w:rPr>
          <w:b/>
        </w:rPr>
      </w:pPr>
      <w:r>
        <w:rPr>
          <w:b/>
        </w:rPr>
        <w:t>CONFIDENTIAL</w:t>
      </w:r>
    </w:p>
    <w:p w:rsidR="004F41CF" w:rsidRDefault="004F41CF" w:rsidP="004F41CF">
      <w:pPr>
        <w:jc w:val="center"/>
        <w:rPr>
          <w:rFonts w:cs="Arial"/>
          <w:b/>
        </w:rPr>
      </w:pPr>
      <w:r>
        <w:rPr>
          <w:rFonts w:cs="Arial"/>
          <w:b/>
        </w:rPr>
        <w:t xml:space="preserve">LEEDS </w:t>
      </w:r>
      <w:r w:rsidR="002E596A">
        <w:rPr>
          <w:rFonts w:cs="Arial"/>
          <w:b/>
        </w:rPr>
        <w:t>BECKETT</w:t>
      </w:r>
      <w:r>
        <w:rPr>
          <w:rFonts w:cs="Arial"/>
          <w:b/>
        </w:rPr>
        <w:t xml:space="preserve"> UNIVERSITY</w:t>
      </w:r>
    </w:p>
    <w:p w:rsidR="004F41CF" w:rsidRDefault="004F41CF" w:rsidP="004F41CF">
      <w:pPr>
        <w:jc w:val="center"/>
        <w:rPr>
          <w:rFonts w:cs="Arial"/>
          <w:b/>
        </w:rPr>
      </w:pPr>
      <w:r>
        <w:rPr>
          <w:rFonts w:cs="Arial"/>
          <w:b/>
        </w:rPr>
        <w:t>EXAMINER’S OUTCOME FORM – DOCTOR OF PHILOSOPHY (RE-ASSESSMENT)</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This form should</w:t>
      </w:r>
      <w:r w:rsidR="004F41CF">
        <w:t xml:space="preserve"> </w:t>
      </w:r>
      <w:r>
        <w:t xml:space="preserve">be </w:t>
      </w:r>
      <w:r w:rsidR="002E596A">
        <w:t>typed.</w:t>
      </w:r>
    </w:p>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A160D5" w:rsidRPr="00333623" w:rsidRDefault="00A160D5" w:rsidP="00336766">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A3545D" w:rsidRPr="00333623" w:rsidTr="00A54C81">
        <w:tc>
          <w:tcPr>
            <w:tcW w:w="2376" w:type="dxa"/>
          </w:tcPr>
          <w:p w:rsidR="00A3545D" w:rsidRDefault="00A3545D" w:rsidP="00A54C81">
            <w:pPr>
              <w:spacing w:after="0" w:line="240" w:lineRule="auto"/>
            </w:pPr>
            <w:r>
              <w:t>School:</w:t>
            </w:r>
          </w:p>
          <w:p w:rsidR="00A3545D" w:rsidRPr="00333623" w:rsidRDefault="00A3545D" w:rsidP="00A54C81">
            <w:pPr>
              <w:spacing w:after="0" w:line="240" w:lineRule="auto"/>
            </w:pPr>
          </w:p>
        </w:tc>
        <w:tc>
          <w:tcPr>
            <w:tcW w:w="6866" w:type="dxa"/>
          </w:tcPr>
          <w:p w:rsidR="00A3545D" w:rsidRDefault="00A3545D"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4A3042" w:rsidRDefault="00DE26A6" w:rsidP="00A54C81">
            <w:pPr>
              <w:spacing w:after="0" w:line="240" w:lineRule="auto"/>
              <w:rPr>
                <w:rFonts w:cs="Calibri"/>
              </w:rPr>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DE26A6" w:rsidP="00A54C81">
            <w:pPr>
              <w:spacing w:after="0" w:line="240" w:lineRule="auto"/>
            </w:pPr>
            <w:r>
              <w:t>Organisation (</w:t>
            </w:r>
            <w:r w:rsidR="002E596A">
              <w:t>if external to u</w:t>
            </w:r>
            <w:r>
              <w:t>niversity):</w:t>
            </w:r>
          </w:p>
        </w:tc>
        <w:tc>
          <w:tcPr>
            <w:tcW w:w="6866" w:type="dxa"/>
          </w:tcPr>
          <w:p w:rsidR="00643C9C" w:rsidRPr="00333623" w:rsidRDefault="00643C9C" w:rsidP="00336766">
            <w:pPr>
              <w:spacing w:after="0" w:line="240" w:lineRule="auto"/>
            </w:pPr>
          </w:p>
        </w:tc>
      </w:tr>
    </w:tbl>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AB322C" w:rsidP="002E596A">
            <w:pPr>
              <w:spacing w:after="0" w:line="240" w:lineRule="auto"/>
            </w:pPr>
            <w:r>
              <w:t xml:space="preserve">Organisation (if external to </w:t>
            </w:r>
            <w:r w:rsidR="002E596A">
              <w:t>u</w:t>
            </w:r>
            <w:r>
              <w:t>niversity):</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2E596A">
      <w:pPr>
        <w:rPr>
          <w:b/>
        </w:rPr>
      </w:pPr>
      <w:r>
        <w:rPr>
          <w:b/>
        </w:rPr>
        <w:br/>
      </w:r>
      <w:r w:rsidR="00AB322C">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2E596A"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r w:rsidR="004A3042" w:rsidRPr="00333623" w:rsidTr="00AB322C">
        <w:tc>
          <w:tcPr>
            <w:tcW w:w="2376" w:type="dxa"/>
          </w:tcPr>
          <w:p w:rsidR="004A3042" w:rsidRDefault="004A3042" w:rsidP="00AB322C">
            <w:pPr>
              <w:spacing w:after="0" w:line="240" w:lineRule="auto"/>
            </w:pPr>
          </w:p>
        </w:tc>
        <w:tc>
          <w:tcPr>
            <w:tcW w:w="6866" w:type="dxa"/>
          </w:tcPr>
          <w:p w:rsidR="004A3042" w:rsidRDefault="004A3042"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2E596A"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2E596A"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643C9C" w:rsidRDefault="00643C9C">
      <w:pPr>
        <w:rPr>
          <w:b/>
        </w:rPr>
      </w:pPr>
    </w:p>
    <w:p w:rsidR="006C5CD6" w:rsidRPr="006C5CD6" w:rsidRDefault="006C5CD6">
      <w:pPr>
        <w:rPr>
          <w:b/>
        </w:rPr>
      </w:pPr>
      <w:r w:rsidRPr="006C5CD6">
        <w:rPr>
          <w:b/>
        </w:rPr>
        <w:t>Section 3: Type of Re-examination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2680"/>
      </w:tblGrid>
      <w:tr w:rsidR="006C5CD6" w:rsidRPr="009C088F" w:rsidTr="009C088F">
        <w:tc>
          <w:tcPr>
            <w:tcW w:w="6487" w:type="dxa"/>
          </w:tcPr>
          <w:p w:rsidR="006C5CD6" w:rsidRPr="009C088F" w:rsidRDefault="006C5CD6">
            <w:pPr>
              <w:rPr>
                <w:b/>
              </w:rPr>
            </w:pPr>
            <w:r w:rsidRPr="009C088F">
              <w:rPr>
                <w:b/>
              </w:rPr>
              <w:t>Re-examination of thesis only</w:t>
            </w:r>
          </w:p>
        </w:tc>
        <w:tc>
          <w:tcPr>
            <w:tcW w:w="2755" w:type="dxa"/>
          </w:tcPr>
          <w:p w:rsidR="006C5CD6" w:rsidRPr="009C088F" w:rsidRDefault="006C5CD6">
            <w:pPr>
              <w:rPr>
                <w:b/>
              </w:rPr>
            </w:pPr>
          </w:p>
        </w:tc>
      </w:tr>
      <w:tr w:rsidR="006C5CD6" w:rsidRPr="009C088F" w:rsidTr="009C088F">
        <w:tc>
          <w:tcPr>
            <w:tcW w:w="6487" w:type="dxa"/>
          </w:tcPr>
          <w:p w:rsidR="006C5CD6" w:rsidRPr="009C088F" w:rsidRDefault="006C5CD6">
            <w:pPr>
              <w:rPr>
                <w:b/>
              </w:rPr>
            </w:pPr>
            <w:r w:rsidRPr="009C088F">
              <w:rPr>
                <w:b/>
              </w:rPr>
              <w:t>Re-examination of thesis with an oral examination</w:t>
            </w:r>
          </w:p>
        </w:tc>
        <w:tc>
          <w:tcPr>
            <w:tcW w:w="2755" w:type="dxa"/>
          </w:tcPr>
          <w:p w:rsidR="006C5CD6" w:rsidRPr="009C088F" w:rsidRDefault="006C5CD6">
            <w:pPr>
              <w:rPr>
                <w:b/>
              </w:rPr>
            </w:pPr>
          </w:p>
        </w:tc>
      </w:tr>
    </w:tbl>
    <w:p w:rsidR="00DE26A6" w:rsidRDefault="00A160D5">
      <w:pPr>
        <w:rPr>
          <w:b/>
        </w:rPr>
      </w:pPr>
      <w:r>
        <w:rPr>
          <w:b/>
        </w:rPr>
        <w:br w:type="page"/>
      </w:r>
      <w:r w:rsidR="006C5CD6">
        <w:rPr>
          <w:b/>
        </w:rPr>
        <w:lastRenderedPageBreak/>
        <w:t>Section 4</w:t>
      </w:r>
      <w:r w:rsidR="00643C9C">
        <w:rPr>
          <w:b/>
        </w:rPr>
        <w:t xml:space="preserve">: </w:t>
      </w:r>
      <w:r w:rsidR="00AB322C">
        <w:rPr>
          <w:b/>
        </w:rPr>
        <w:t>Report of the Examiners on the Oral Examination</w:t>
      </w:r>
      <w:r w:rsidR="006C5CD6">
        <w:rPr>
          <w:b/>
        </w:rPr>
        <w:t xml:space="preserve"> (as appropriate)</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753"/>
        <w:gridCol w:w="1753"/>
      </w:tblGrid>
      <w:tr w:rsidR="00F84C6B" w:rsidRPr="00333623" w:rsidTr="00F84C6B">
        <w:tc>
          <w:tcPr>
            <w:tcW w:w="5637" w:type="dxa"/>
          </w:tcPr>
          <w:p w:rsidR="00F84C6B" w:rsidRDefault="006C5CD6" w:rsidP="00AB322C">
            <w:pPr>
              <w:spacing w:after="0" w:line="240" w:lineRule="auto"/>
            </w:pPr>
            <w:r>
              <w:t>4</w:t>
            </w:r>
            <w:r w:rsidR="00F84C6B">
              <w:t>.1 Are you satisfied that the thesis presented is the candidate’s own work?</w:t>
            </w: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AB322C" w:rsidRPr="00333623" w:rsidTr="00AB322C">
        <w:tc>
          <w:tcPr>
            <w:tcW w:w="9242" w:type="dxa"/>
            <w:gridSpan w:val="3"/>
          </w:tcPr>
          <w:p w:rsidR="00AB322C" w:rsidRDefault="006C5CD6" w:rsidP="00AB322C">
            <w:pPr>
              <w:spacing w:after="0" w:line="240" w:lineRule="auto"/>
            </w:pPr>
            <w:r>
              <w:t>4</w:t>
            </w:r>
            <w:r w:rsidR="00F84C6B">
              <w:t>.2</w:t>
            </w:r>
            <w:r w:rsidR="00AB322C">
              <w:t xml:space="preserve"> Did the candidate show a satisfactory knowledge and understanding of:</w:t>
            </w:r>
          </w:p>
          <w:p w:rsidR="00AB322C" w:rsidRPr="00333623" w:rsidRDefault="00AB322C" w:rsidP="00AB322C">
            <w:pPr>
              <w:spacing w:after="0" w:line="240" w:lineRule="auto"/>
            </w:pPr>
          </w:p>
        </w:tc>
      </w:tr>
      <w:tr w:rsidR="00F84C6B" w:rsidRPr="00333623" w:rsidTr="00AB322C">
        <w:trPr>
          <w:trHeight w:val="270"/>
        </w:trPr>
        <w:tc>
          <w:tcPr>
            <w:tcW w:w="5637" w:type="dxa"/>
            <w:vMerge w:val="restart"/>
          </w:tcPr>
          <w:p w:rsidR="00F84C6B" w:rsidRDefault="00F84C6B" w:rsidP="00AB322C">
            <w:pPr>
              <w:pStyle w:val="ListParagraph"/>
              <w:numPr>
                <w:ilvl w:val="0"/>
                <w:numId w:val="1"/>
              </w:numPr>
              <w:spacing w:after="0" w:line="240" w:lineRule="auto"/>
            </w:pPr>
            <w:r>
              <w:t>Matters relating to the thesis?</w:t>
            </w:r>
          </w:p>
          <w:p w:rsidR="00F84C6B" w:rsidRDefault="00F84C6B" w:rsidP="00AB322C">
            <w:pPr>
              <w:pStyle w:val="ListParagraph"/>
              <w:numPr>
                <w:ilvl w:val="0"/>
                <w:numId w:val="1"/>
              </w:numPr>
              <w:spacing w:after="0" w:line="240" w:lineRule="auto"/>
            </w:pPr>
            <w:r>
              <w:t>Background studies to the subject of the thesis?</w:t>
            </w:r>
          </w:p>
          <w:p w:rsidR="00F84C6B" w:rsidRDefault="00F84C6B" w:rsidP="00AB322C">
            <w:pPr>
              <w:pStyle w:val="ListParagraph"/>
              <w:numPr>
                <w:ilvl w:val="0"/>
                <w:numId w:val="1"/>
              </w:numPr>
              <w:spacing w:after="0" w:line="240" w:lineRule="auto"/>
              <w:ind w:left="709" w:hanging="349"/>
            </w:pPr>
            <w:r>
              <w:t>(In the case of a candidate whose research project was part of a collaborative group project,) did the oral demonstrate that the candidate’s own contribution was worthy of the award?</w:t>
            </w:r>
          </w:p>
        </w:tc>
        <w:tc>
          <w:tcPr>
            <w:tcW w:w="1802" w:type="dxa"/>
          </w:tcPr>
          <w:p w:rsidR="00F84C6B" w:rsidRPr="00333623" w:rsidRDefault="00F84C6B" w:rsidP="00AB322C">
            <w:pPr>
              <w:spacing w:after="0" w:line="240" w:lineRule="auto"/>
            </w:pPr>
            <w:r>
              <w:t>YES</w:t>
            </w:r>
          </w:p>
        </w:tc>
        <w:tc>
          <w:tcPr>
            <w:tcW w:w="1803" w:type="dxa"/>
          </w:tcPr>
          <w:p w:rsidR="00F84C6B" w:rsidRPr="00333623" w:rsidRDefault="00F84C6B" w:rsidP="00AB322C">
            <w:pPr>
              <w:spacing w:after="0" w:line="240" w:lineRule="auto"/>
            </w:pPr>
            <w:r>
              <w:t>NO</w:t>
            </w:r>
          </w:p>
        </w:tc>
      </w:tr>
      <w:tr w:rsidR="00F84C6B" w:rsidTr="00F84C6B">
        <w:trPr>
          <w:trHeight w:val="311"/>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F84C6B" w:rsidTr="00AB322C">
        <w:trPr>
          <w:trHeight w:val="667"/>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F84C6B" w:rsidRPr="00333623" w:rsidTr="00F84C6B">
        <w:tc>
          <w:tcPr>
            <w:tcW w:w="9242" w:type="dxa"/>
            <w:gridSpan w:val="3"/>
          </w:tcPr>
          <w:p w:rsidR="00F84C6B" w:rsidRDefault="006C5CD6" w:rsidP="00F84C6B">
            <w:pPr>
              <w:spacing w:after="0" w:line="240" w:lineRule="auto"/>
            </w:pPr>
            <w:r>
              <w:t>4</w:t>
            </w:r>
            <w:r w:rsidR="00F84C6B">
              <w:t>.3 Other Comments on the oral examination:</w:t>
            </w:r>
          </w:p>
          <w:p w:rsidR="00F84C6B" w:rsidRDefault="00F84C6B" w:rsidP="00F84C6B">
            <w:pPr>
              <w:spacing w:after="0" w:line="240" w:lineRule="auto"/>
            </w:pPr>
          </w:p>
          <w:p w:rsidR="00F84C6B" w:rsidRPr="00333623" w:rsidRDefault="00F84C6B" w:rsidP="00F84C6B">
            <w:pPr>
              <w:spacing w:after="0" w:line="240" w:lineRule="auto"/>
            </w:pPr>
          </w:p>
        </w:tc>
      </w:tr>
    </w:tbl>
    <w:p w:rsidR="00F84C6B" w:rsidRDefault="00F84C6B">
      <w:pPr>
        <w:rPr>
          <w:b/>
        </w:rPr>
      </w:pPr>
    </w:p>
    <w:p w:rsidR="00194457" w:rsidRDefault="006C5CD6">
      <w:pPr>
        <w:rPr>
          <w:b/>
        </w:rPr>
      </w:pPr>
      <w:r>
        <w:rPr>
          <w:b/>
        </w:rPr>
        <w:t>Section 5</w:t>
      </w:r>
      <w:r w:rsidR="00643C9C">
        <w:rPr>
          <w:b/>
        </w:rPr>
        <w:t xml:space="preserve">: </w:t>
      </w:r>
      <w:r w:rsidR="00194457" w:rsidRPr="002418A3">
        <w:rPr>
          <w:b/>
        </w:rPr>
        <w:t>Report of the Examiner on the thesis and any published work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1752"/>
        <w:gridCol w:w="1752"/>
      </w:tblGrid>
      <w:tr w:rsidR="00194457" w:rsidRPr="00333623" w:rsidTr="00A54C81">
        <w:tc>
          <w:tcPr>
            <w:tcW w:w="9242" w:type="dxa"/>
            <w:gridSpan w:val="3"/>
          </w:tcPr>
          <w:p w:rsidR="00194457" w:rsidRDefault="006C5CD6" w:rsidP="00A54C81">
            <w:pPr>
              <w:spacing w:after="0" w:line="240" w:lineRule="auto"/>
            </w:pPr>
            <w:r>
              <w:t>5</w:t>
            </w:r>
            <w:r w:rsidR="00643C9C">
              <w:t xml:space="preserve">.1 </w:t>
            </w:r>
            <w:r w:rsidR="00194457">
              <w:t>Does the thesis represent a significant contribution to knowledge of the subject by:</w:t>
            </w:r>
          </w:p>
          <w:p w:rsidR="00194457" w:rsidRPr="00333623" w:rsidRDefault="00194457" w:rsidP="00A54C81">
            <w:pPr>
              <w:spacing w:after="0" w:line="240" w:lineRule="auto"/>
            </w:pPr>
          </w:p>
        </w:tc>
      </w:tr>
      <w:tr w:rsidR="00194457" w:rsidRPr="00333623" w:rsidTr="00A54C81">
        <w:trPr>
          <w:trHeight w:val="270"/>
        </w:trPr>
        <w:tc>
          <w:tcPr>
            <w:tcW w:w="5637" w:type="dxa"/>
            <w:vMerge w:val="restart"/>
          </w:tcPr>
          <w:p w:rsidR="00194457" w:rsidRDefault="00194457" w:rsidP="00F84C6B">
            <w:pPr>
              <w:pStyle w:val="ListParagraph"/>
              <w:numPr>
                <w:ilvl w:val="0"/>
                <w:numId w:val="7"/>
              </w:numPr>
              <w:spacing w:after="0" w:line="240" w:lineRule="auto"/>
            </w:pPr>
            <w:r>
              <w:t>The discovery of new facts and/or</w:t>
            </w:r>
          </w:p>
          <w:p w:rsidR="00194457" w:rsidRDefault="00194457" w:rsidP="00F84C6B">
            <w:pPr>
              <w:pStyle w:val="ListParagraph"/>
              <w:numPr>
                <w:ilvl w:val="0"/>
                <w:numId w:val="7"/>
              </w:numPr>
              <w:spacing w:after="0" w:line="240" w:lineRule="auto"/>
            </w:pPr>
            <w:r>
              <w:t>The exercise of independent critical powers</w:t>
            </w:r>
          </w:p>
        </w:tc>
        <w:tc>
          <w:tcPr>
            <w:tcW w:w="1802" w:type="dxa"/>
          </w:tcPr>
          <w:p w:rsidR="00194457" w:rsidRPr="00333623" w:rsidRDefault="00194457" w:rsidP="00A54C81">
            <w:pPr>
              <w:spacing w:after="0" w:line="240" w:lineRule="auto"/>
            </w:pPr>
            <w:r>
              <w:t>YES</w:t>
            </w:r>
          </w:p>
        </w:tc>
        <w:tc>
          <w:tcPr>
            <w:tcW w:w="1803" w:type="dxa"/>
          </w:tcPr>
          <w:p w:rsidR="00194457" w:rsidRPr="00333623" w:rsidRDefault="00194457" w:rsidP="00A54C81">
            <w:pPr>
              <w:spacing w:after="0" w:line="240" w:lineRule="auto"/>
            </w:pPr>
            <w:r>
              <w:t>NO</w:t>
            </w:r>
          </w:p>
        </w:tc>
      </w:tr>
      <w:tr w:rsidR="00194457" w:rsidRPr="00333623" w:rsidTr="00A54C81">
        <w:trPr>
          <w:trHeight w:val="270"/>
        </w:trPr>
        <w:tc>
          <w:tcPr>
            <w:tcW w:w="5637" w:type="dxa"/>
            <w:vMerge/>
          </w:tcPr>
          <w:p w:rsidR="00194457" w:rsidRDefault="00194457" w:rsidP="00A54C81">
            <w:pPr>
              <w:spacing w:after="0" w:line="240" w:lineRule="auto"/>
            </w:pPr>
          </w:p>
        </w:tc>
        <w:tc>
          <w:tcPr>
            <w:tcW w:w="1802" w:type="dxa"/>
          </w:tcPr>
          <w:p w:rsidR="00194457" w:rsidRDefault="00194457" w:rsidP="00A54C81">
            <w:pPr>
              <w:spacing w:after="0" w:line="240" w:lineRule="auto"/>
            </w:pPr>
            <w:r>
              <w:t>YES</w:t>
            </w:r>
          </w:p>
        </w:tc>
        <w:tc>
          <w:tcPr>
            <w:tcW w:w="1803" w:type="dxa"/>
          </w:tcPr>
          <w:p w:rsidR="00194457" w:rsidRDefault="00194457" w:rsidP="00A54C81">
            <w:pPr>
              <w:spacing w:after="0" w:line="240" w:lineRule="auto"/>
            </w:pPr>
            <w:r>
              <w:t>NO</w:t>
            </w:r>
          </w:p>
        </w:tc>
      </w:tr>
      <w:tr w:rsidR="00194457" w:rsidRPr="00333623" w:rsidTr="00A54C81">
        <w:tc>
          <w:tcPr>
            <w:tcW w:w="5637" w:type="dxa"/>
          </w:tcPr>
          <w:p w:rsidR="00194457" w:rsidRDefault="006C5CD6" w:rsidP="00A54C81">
            <w:pPr>
              <w:spacing w:after="0" w:line="240" w:lineRule="auto"/>
            </w:pPr>
            <w:r>
              <w:t>5</w:t>
            </w:r>
            <w:r w:rsidR="00643C9C">
              <w:t xml:space="preserve">.2 </w:t>
            </w:r>
            <w:r w:rsidR="00194457">
              <w:t>Does the thesis provide originality?</w:t>
            </w:r>
          </w:p>
        </w:tc>
        <w:tc>
          <w:tcPr>
            <w:tcW w:w="1802" w:type="dxa"/>
          </w:tcPr>
          <w:p w:rsidR="00194457" w:rsidRPr="00333623" w:rsidRDefault="00194457" w:rsidP="00A54C81">
            <w:pPr>
              <w:spacing w:after="0" w:line="240" w:lineRule="auto"/>
            </w:pPr>
            <w:r>
              <w:t>YES</w:t>
            </w:r>
          </w:p>
        </w:tc>
        <w:tc>
          <w:tcPr>
            <w:tcW w:w="1803" w:type="dxa"/>
          </w:tcPr>
          <w:p w:rsidR="00194457" w:rsidRPr="00333623" w:rsidRDefault="00194457" w:rsidP="00A54C81">
            <w:pPr>
              <w:spacing w:after="0" w:line="240" w:lineRule="auto"/>
            </w:pPr>
            <w:r>
              <w:t>NO</w:t>
            </w:r>
          </w:p>
        </w:tc>
      </w:tr>
      <w:tr w:rsidR="00194457" w:rsidRPr="00333623" w:rsidTr="00A54C81">
        <w:tc>
          <w:tcPr>
            <w:tcW w:w="5637" w:type="dxa"/>
          </w:tcPr>
          <w:p w:rsidR="00194457" w:rsidRDefault="006C5CD6" w:rsidP="00A54C81">
            <w:pPr>
              <w:spacing w:after="0" w:line="240" w:lineRule="auto"/>
            </w:pPr>
            <w:r>
              <w:t>5</w:t>
            </w:r>
            <w:r w:rsidR="00643C9C">
              <w:t xml:space="preserve">.3 </w:t>
            </w:r>
            <w:r w:rsidR="00194457">
              <w:t>Is the thesis satisfactory as regards literary presentation and succinctness?</w:t>
            </w:r>
          </w:p>
        </w:tc>
        <w:tc>
          <w:tcPr>
            <w:tcW w:w="1802" w:type="dxa"/>
          </w:tcPr>
          <w:p w:rsidR="00194457" w:rsidRDefault="00194457" w:rsidP="00A54C81">
            <w:pPr>
              <w:spacing w:after="0" w:line="240" w:lineRule="auto"/>
            </w:pPr>
            <w:r>
              <w:t>YES</w:t>
            </w:r>
          </w:p>
        </w:tc>
        <w:tc>
          <w:tcPr>
            <w:tcW w:w="1803" w:type="dxa"/>
          </w:tcPr>
          <w:p w:rsidR="00194457" w:rsidRDefault="00194457" w:rsidP="00A54C81">
            <w:pPr>
              <w:spacing w:after="0" w:line="240" w:lineRule="auto"/>
            </w:pPr>
            <w:r>
              <w:t>NO</w:t>
            </w:r>
          </w:p>
        </w:tc>
      </w:tr>
      <w:tr w:rsidR="00194457" w:rsidRPr="00333623" w:rsidTr="00A54C81">
        <w:tc>
          <w:tcPr>
            <w:tcW w:w="5637" w:type="dxa"/>
          </w:tcPr>
          <w:p w:rsidR="00194457" w:rsidRDefault="006C5CD6" w:rsidP="00A54C81">
            <w:pPr>
              <w:spacing w:after="0" w:line="240" w:lineRule="auto"/>
            </w:pPr>
            <w:r>
              <w:t>5</w:t>
            </w:r>
            <w:r w:rsidR="00643C9C">
              <w:t xml:space="preserve">.4 </w:t>
            </w:r>
            <w:r w:rsidR="00194457">
              <w:t>Is the abstract of the thesis acceptable?</w:t>
            </w:r>
          </w:p>
        </w:tc>
        <w:tc>
          <w:tcPr>
            <w:tcW w:w="1802" w:type="dxa"/>
          </w:tcPr>
          <w:p w:rsidR="00194457" w:rsidRPr="00333623" w:rsidRDefault="00194457" w:rsidP="00A54C81">
            <w:pPr>
              <w:spacing w:after="0" w:line="240" w:lineRule="auto"/>
            </w:pPr>
            <w:r>
              <w:t>YES</w:t>
            </w:r>
          </w:p>
        </w:tc>
        <w:tc>
          <w:tcPr>
            <w:tcW w:w="1803" w:type="dxa"/>
          </w:tcPr>
          <w:p w:rsidR="00194457" w:rsidRPr="00333623" w:rsidRDefault="00194457" w:rsidP="00A54C81">
            <w:pPr>
              <w:spacing w:after="0" w:line="240" w:lineRule="auto"/>
            </w:pPr>
            <w:r>
              <w:t>NO</w:t>
            </w:r>
          </w:p>
        </w:tc>
      </w:tr>
      <w:tr w:rsidR="00194457" w:rsidRPr="00333623" w:rsidTr="00A54C81">
        <w:tc>
          <w:tcPr>
            <w:tcW w:w="5637" w:type="dxa"/>
          </w:tcPr>
          <w:p w:rsidR="00194457" w:rsidRDefault="006C5CD6" w:rsidP="00A54C81">
            <w:pPr>
              <w:spacing w:after="0" w:line="240" w:lineRule="auto"/>
            </w:pPr>
            <w:r>
              <w:t>5</w:t>
            </w:r>
            <w:r w:rsidR="00643C9C">
              <w:t xml:space="preserve">.5 </w:t>
            </w:r>
            <w:r w:rsidR="00194457">
              <w:t>(In the case of a candidate who has completed a programme of formally assessed coursework) is it manifest in the thesis that the candidate has benefited from the course of postgraduate study?</w:t>
            </w:r>
          </w:p>
        </w:tc>
        <w:tc>
          <w:tcPr>
            <w:tcW w:w="1802" w:type="dxa"/>
          </w:tcPr>
          <w:p w:rsidR="00194457" w:rsidRDefault="00194457" w:rsidP="00A54C81">
            <w:pPr>
              <w:spacing w:after="0" w:line="240" w:lineRule="auto"/>
            </w:pPr>
            <w:r>
              <w:t>YES</w:t>
            </w:r>
          </w:p>
        </w:tc>
        <w:tc>
          <w:tcPr>
            <w:tcW w:w="1803" w:type="dxa"/>
          </w:tcPr>
          <w:p w:rsidR="00194457" w:rsidRDefault="00194457" w:rsidP="00A54C81">
            <w:pPr>
              <w:spacing w:after="0" w:line="240" w:lineRule="auto"/>
            </w:pPr>
            <w:r>
              <w:t>NO</w:t>
            </w:r>
          </w:p>
        </w:tc>
      </w:tr>
      <w:tr w:rsidR="00194457" w:rsidRPr="00333623" w:rsidTr="00A54C81">
        <w:tc>
          <w:tcPr>
            <w:tcW w:w="5637" w:type="dxa"/>
          </w:tcPr>
          <w:p w:rsidR="00194457" w:rsidRDefault="006C5CD6" w:rsidP="00A54C81">
            <w:pPr>
              <w:spacing w:after="0" w:line="240" w:lineRule="auto"/>
            </w:pPr>
            <w:r>
              <w:t>5</w:t>
            </w:r>
            <w:r w:rsidR="00643C9C">
              <w:t xml:space="preserve">.6 </w:t>
            </w:r>
            <w:r w:rsidR="00194457">
              <w:t>(Where the candidate’s research programme is part of a collaborative group project) does the thesis indicate clearly the candidate’s individual contribution and the extent of the collaboration?</w:t>
            </w:r>
          </w:p>
        </w:tc>
        <w:tc>
          <w:tcPr>
            <w:tcW w:w="1802" w:type="dxa"/>
          </w:tcPr>
          <w:p w:rsidR="00194457" w:rsidRPr="00333623" w:rsidRDefault="00194457" w:rsidP="00A54C81">
            <w:pPr>
              <w:spacing w:after="0" w:line="240" w:lineRule="auto"/>
            </w:pPr>
            <w:r>
              <w:t>YES</w:t>
            </w:r>
          </w:p>
        </w:tc>
        <w:tc>
          <w:tcPr>
            <w:tcW w:w="1803" w:type="dxa"/>
          </w:tcPr>
          <w:p w:rsidR="00194457" w:rsidRPr="00333623" w:rsidRDefault="00194457" w:rsidP="00A54C81">
            <w:pPr>
              <w:spacing w:after="0" w:line="240" w:lineRule="auto"/>
            </w:pPr>
            <w:r>
              <w:t>NO</w:t>
            </w:r>
          </w:p>
        </w:tc>
      </w:tr>
      <w:tr w:rsidR="00F84C6B" w:rsidRPr="00333623" w:rsidTr="00F84C6B">
        <w:tc>
          <w:tcPr>
            <w:tcW w:w="9242" w:type="dxa"/>
            <w:gridSpan w:val="3"/>
          </w:tcPr>
          <w:p w:rsidR="00F84C6B" w:rsidRDefault="00F84C6B" w:rsidP="00F84C6B">
            <w:pPr>
              <w:spacing w:after="0" w:line="240" w:lineRule="auto"/>
            </w:pPr>
            <w:r>
              <w:t>Other comments on the thesis:</w:t>
            </w:r>
          </w:p>
          <w:p w:rsidR="00F84C6B" w:rsidRDefault="00F84C6B" w:rsidP="00F84C6B">
            <w:pPr>
              <w:spacing w:after="0" w:line="240" w:lineRule="auto"/>
            </w:pPr>
          </w:p>
          <w:p w:rsidR="00F84C6B" w:rsidRDefault="00F84C6B" w:rsidP="00F84C6B">
            <w:pPr>
              <w:spacing w:after="0" w:line="240" w:lineRule="auto"/>
            </w:pPr>
          </w:p>
          <w:p w:rsidR="00F84C6B" w:rsidRDefault="00F84C6B" w:rsidP="00A54C81">
            <w:pPr>
              <w:spacing w:after="0" w:line="240" w:lineRule="auto"/>
            </w:pPr>
          </w:p>
        </w:tc>
      </w:tr>
    </w:tbl>
    <w:p w:rsidR="002418A3" w:rsidRPr="00F84C6B" w:rsidRDefault="002418A3" w:rsidP="00F84C6B">
      <w:pPr>
        <w:spacing w:after="0" w:line="240" w:lineRule="auto"/>
      </w:pPr>
    </w:p>
    <w:p w:rsidR="002418A3" w:rsidRPr="002418A3" w:rsidRDefault="006C5CD6">
      <w:pPr>
        <w:rPr>
          <w:b/>
        </w:rPr>
      </w:pPr>
      <w:r>
        <w:rPr>
          <w:b/>
        </w:rPr>
        <w:t>Section 6</w:t>
      </w:r>
      <w:r w:rsidR="001E43CD">
        <w:rPr>
          <w:b/>
        </w:rPr>
        <w:t xml:space="preserve">: </w:t>
      </w:r>
      <w:r w:rsidR="00F84C6B">
        <w:rPr>
          <w:b/>
        </w:rPr>
        <w:t>Report of the Examiners on any approved alternative / further examination</w:t>
      </w:r>
      <w:r w:rsidR="00A160D5">
        <w:rPr>
          <w:b/>
        </w:rPr>
        <w:t xml:space="preserve"> (as appropriate)</w:t>
      </w:r>
      <w:r w:rsidR="00F84C6B">
        <w:rPr>
          <w:b/>
        </w:rPr>
        <w:t>:</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2418A3" w:rsidRDefault="002418A3"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1E43CD">
        <w:rPr>
          <w:b/>
        </w:rPr>
        <w:lastRenderedPageBreak/>
        <w:t xml:space="preserve">Section </w:t>
      </w:r>
      <w:r w:rsidR="006C5CD6">
        <w:rPr>
          <w:b/>
        </w:rPr>
        <w:t>7</w:t>
      </w:r>
      <w:r w:rsidR="001E43CD">
        <w:rPr>
          <w:b/>
        </w:rPr>
        <w:t xml:space="preserve">: </w:t>
      </w:r>
      <w:r w:rsidR="002418A3" w:rsidRPr="00643C9C">
        <w:rPr>
          <w:b/>
        </w:rPr>
        <w:t xml:space="preserve">Examiner’s </w:t>
      </w:r>
      <w:r w:rsidR="00F84C6B">
        <w:rPr>
          <w:b/>
        </w:rPr>
        <w:t>Decision</w:t>
      </w:r>
    </w:p>
    <w:p w:rsidR="002418A3" w:rsidRPr="00812C7C"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original examination</w:t>
      </w:r>
      <w:r>
        <w:t xml:space="preserve"> and </w:t>
      </w:r>
      <w:r w:rsidRPr="00812C7C">
        <w:rPr>
          <w:b/>
          <w:u w:val="single"/>
        </w:rPr>
        <w:t>must</w:t>
      </w:r>
      <w:r>
        <w:t xml:space="preserve"> be set within 12 months of the original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299"/>
      </w:tblGrid>
      <w:tr w:rsidR="002418A3" w:rsidTr="00BB0825">
        <w:tc>
          <w:tcPr>
            <w:tcW w:w="6912" w:type="dxa"/>
          </w:tcPr>
          <w:p w:rsidR="002418A3" w:rsidRDefault="00BB0825" w:rsidP="00A54C81">
            <w:pPr>
              <w:spacing w:after="0" w:line="240" w:lineRule="auto"/>
            </w:pPr>
            <w:r>
              <w:t>The candidate is recommended for the award</w:t>
            </w: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tc>
      </w:tr>
      <w:tr w:rsidR="002418A3" w:rsidTr="00BB0825">
        <w:tc>
          <w:tcPr>
            <w:tcW w:w="6912" w:type="dxa"/>
          </w:tcPr>
          <w:p w:rsidR="00A160D5" w:rsidRDefault="00BB0825" w:rsidP="00A160D5">
            <w:pPr>
              <w:spacing w:after="0" w:line="240" w:lineRule="auto"/>
            </w:pPr>
            <w:r>
              <w:t>The candidate is recommended for the award subject to minor amendments (to be made within 1 month of receipt of the notification by the candidate</w:t>
            </w:r>
            <w:r w:rsidR="00A160D5">
              <w:t>)</w:t>
            </w:r>
          </w:p>
          <w:p w:rsidR="00A160D5" w:rsidRDefault="00A160D5" w:rsidP="00A160D5">
            <w:pPr>
              <w:spacing w:after="0" w:line="240" w:lineRule="auto"/>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812C7C" w:rsidRDefault="00812C7C" w:rsidP="00A160D5">
            <w:pPr>
              <w:spacing w:after="0" w:line="240" w:lineRule="auto"/>
            </w:pP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r>
              <w:t>Deadline for submission of Minor Amendments:</w:t>
            </w:r>
          </w:p>
          <w:p w:rsidR="00812C7C" w:rsidRDefault="00812C7C" w:rsidP="00A54C81">
            <w:pPr>
              <w:spacing w:after="0" w:line="240" w:lineRule="auto"/>
            </w:pPr>
          </w:p>
        </w:tc>
      </w:tr>
      <w:tr w:rsidR="00812C7C" w:rsidTr="00BB0825">
        <w:tc>
          <w:tcPr>
            <w:tcW w:w="6912" w:type="dxa"/>
          </w:tcPr>
          <w:p w:rsidR="00B01ECC" w:rsidRDefault="006C5CD6" w:rsidP="00B01ECC">
            <w:pPr>
              <w:pStyle w:val="ListParagraph"/>
              <w:tabs>
                <w:tab w:val="left" w:pos="0"/>
              </w:tabs>
              <w:spacing w:after="0" w:line="240" w:lineRule="auto"/>
              <w:ind w:left="0"/>
              <w:jc w:val="both"/>
            </w:pPr>
            <w:r>
              <w:t>T</w:t>
            </w:r>
            <w:r w:rsidR="00812C7C" w:rsidRPr="002E4559">
              <w:t xml:space="preserve">he </w:t>
            </w:r>
            <w:r w:rsidR="00812C7C">
              <w:t>candidate</w:t>
            </w:r>
            <w:r w:rsidR="00812C7C" w:rsidRPr="002E4559">
              <w:t xml:space="preserve"> has not achieved the standard of the award,</w:t>
            </w:r>
            <w:r w:rsidR="00812C7C">
              <w:t xml:space="preserve"> but has satisfied the criteria for award of an MPhil. In this case the candidate may, after possible changes to format of the thesis to satisfy the terms of the regulations for the degree, be awarded the degree of MPhil</w:t>
            </w:r>
          </w:p>
          <w:p w:rsidR="00B01ECC" w:rsidRDefault="00B01ECC" w:rsidP="00B01ECC">
            <w:pPr>
              <w:pStyle w:val="ListParagraph"/>
              <w:tabs>
                <w:tab w:val="left" w:pos="0"/>
              </w:tabs>
              <w:spacing w:after="0" w:line="240" w:lineRule="auto"/>
              <w:ind w:left="0"/>
              <w:jc w:val="both"/>
            </w:pPr>
          </w:p>
          <w:p w:rsidR="00B01ECC" w:rsidRPr="00E91AB5" w:rsidRDefault="00B01ECC" w:rsidP="00B01ECC">
            <w:pPr>
              <w:spacing w:after="0" w:line="240" w:lineRule="auto"/>
              <w:rPr>
                <w:i/>
              </w:rPr>
            </w:pPr>
            <w:r w:rsidRPr="00E91AB5">
              <w:rPr>
                <w:i/>
              </w:rPr>
              <w:t xml:space="preserve">The examiners must specify in adequate detail </w:t>
            </w:r>
            <w:r>
              <w:rPr>
                <w:i/>
              </w:rPr>
              <w:t xml:space="preserve">the deficiencies of the thesis in relation to the PhD award and what changes the candidate is required to make to satisfy the terms of the regulations to be awarded the degree of MPhil </w:t>
            </w:r>
            <w:r w:rsidRPr="00E91AB5">
              <w:rPr>
                <w:i/>
              </w:rPr>
              <w:t>within the ‘Information to Candidates’ section of this form.</w:t>
            </w:r>
          </w:p>
          <w:p w:rsidR="00B01ECC" w:rsidRPr="002E4559" w:rsidRDefault="00B01ECC" w:rsidP="00B01ECC">
            <w:pPr>
              <w:pStyle w:val="ListParagraph"/>
              <w:tabs>
                <w:tab w:val="left" w:pos="0"/>
              </w:tabs>
              <w:spacing w:after="0" w:line="240" w:lineRule="auto"/>
              <w:ind w:left="0"/>
              <w:jc w:val="both"/>
            </w:pPr>
          </w:p>
        </w:tc>
        <w:tc>
          <w:tcPr>
            <w:tcW w:w="2330" w:type="dxa"/>
          </w:tcPr>
          <w:p w:rsidR="00812C7C" w:rsidRDefault="00812C7C" w:rsidP="00A54C81">
            <w:pPr>
              <w:spacing w:after="0" w:line="240" w:lineRule="auto"/>
            </w:pPr>
          </w:p>
          <w:p w:rsidR="00B01ECC" w:rsidRDefault="00B01ECC" w:rsidP="00A54C81">
            <w:pPr>
              <w:spacing w:after="0" w:line="240" w:lineRule="auto"/>
            </w:pPr>
          </w:p>
          <w:p w:rsidR="009710F2" w:rsidRDefault="009710F2" w:rsidP="009710F2">
            <w:pPr>
              <w:spacing w:after="0" w:line="240" w:lineRule="auto"/>
            </w:pPr>
            <w:r>
              <w:t>Deadline for submission of Minor Amendments:</w:t>
            </w:r>
          </w:p>
          <w:p w:rsidR="00B01ECC" w:rsidRDefault="00B01ECC" w:rsidP="00A54C81">
            <w:pPr>
              <w:spacing w:after="0" w:line="240" w:lineRule="auto"/>
            </w:pPr>
          </w:p>
        </w:tc>
      </w:tr>
      <w:tr w:rsidR="00812C7C" w:rsidTr="00BB0825">
        <w:tc>
          <w:tcPr>
            <w:tcW w:w="6912" w:type="dxa"/>
          </w:tcPr>
          <w:p w:rsidR="006C5CD6" w:rsidRDefault="006C5CD6" w:rsidP="006C5CD6">
            <w:pPr>
              <w:pStyle w:val="ListParagraph"/>
              <w:tabs>
                <w:tab w:val="left" w:pos="0"/>
              </w:tabs>
              <w:spacing w:after="0" w:line="240" w:lineRule="auto"/>
              <w:ind w:left="0"/>
              <w:jc w:val="both"/>
            </w:pPr>
            <w:r>
              <w:t>T</w:t>
            </w:r>
            <w:r w:rsidRPr="002E4559">
              <w:t xml:space="preserve">he </w:t>
            </w:r>
            <w:r>
              <w:t>candidate</w:t>
            </w:r>
            <w:r w:rsidRPr="002E4559">
              <w:t xml:space="preserve"> has not achieved the standard of the award or that of a lesser or alternative award; and shall not receiv</w:t>
            </w:r>
            <w:r>
              <w:t>e an award.</w:t>
            </w:r>
          </w:p>
          <w:p w:rsidR="009710F2" w:rsidRDefault="009710F2" w:rsidP="006C5CD6">
            <w:pPr>
              <w:pStyle w:val="ListParagraph"/>
              <w:tabs>
                <w:tab w:val="left" w:pos="0"/>
              </w:tabs>
              <w:spacing w:after="0" w:line="240" w:lineRule="auto"/>
              <w:ind w:left="0"/>
              <w:jc w:val="both"/>
            </w:pPr>
          </w:p>
          <w:p w:rsidR="009710F2" w:rsidRPr="009710F2" w:rsidRDefault="009710F2" w:rsidP="006C5CD6">
            <w:pPr>
              <w:pStyle w:val="ListParagraph"/>
              <w:tabs>
                <w:tab w:val="left" w:pos="0"/>
              </w:tabs>
              <w:spacing w:after="0" w:line="240" w:lineRule="auto"/>
              <w:ind w:left="0"/>
              <w:jc w:val="both"/>
              <w:rPr>
                <w:i/>
              </w:rPr>
            </w:pPr>
            <w:r w:rsidRPr="009710F2">
              <w:rPr>
                <w:i/>
              </w:rPr>
              <w:t>The examiners must specify in adequate detail the deficiencies of the thesis in relation to the PhD award and why the thesis does not meet the standards of th</w:t>
            </w:r>
            <w:r>
              <w:rPr>
                <w:i/>
              </w:rPr>
              <w:t xml:space="preserve">e lesser awards of MPhil or </w:t>
            </w:r>
            <w:proofErr w:type="spellStart"/>
            <w:r>
              <w:rPr>
                <w:i/>
              </w:rPr>
              <w:t>MRe</w:t>
            </w:r>
            <w:r w:rsidR="00EF4FC5">
              <w:rPr>
                <w:i/>
              </w:rPr>
              <w:t>s</w:t>
            </w:r>
            <w:proofErr w:type="spellEnd"/>
            <w:r>
              <w:rPr>
                <w:i/>
              </w:rPr>
              <w:t xml:space="preserve"> within the ‘Information to Candidates’ section of this form.</w:t>
            </w:r>
          </w:p>
          <w:p w:rsidR="00A160D5" w:rsidRPr="00E91AB5" w:rsidRDefault="00A160D5" w:rsidP="00A160D5">
            <w:pPr>
              <w:spacing w:after="0" w:line="240" w:lineRule="auto"/>
              <w:rPr>
                <w:i/>
              </w:rPr>
            </w:pPr>
          </w:p>
        </w:tc>
        <w:tc>
          <w:tcPr>
            <w:tcW w:w="2330" w:type="dxa"/>
          </w:tcPr>
          <w:p w:rsidR="00812C7C" w:rsidRDefault="00812C7C" w:rsidP="006C5CD6">
            <w:pPr>
              <w:spacing w:after="0" w:line="240" w:lineRule="auto"/>
            </w:pPr>
          </w:p>
        </w:tc>
      </w:tr>
    </w:tbl>
    <w:p w:rsidR="00A160D5" w:rsidRDefault="00A160D5"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2E596A" w:rsidP="002E596A">
            <w:pPr>
              <w:spacing w:after="0" w:line="240" w:lineRule="auto"/>
            </w:pPr>
            <w:r>
              <w:t>Date Received (Graduate School</w:t>
            </w:r>
            <w:r w:rsidR="001E43CD">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5218BC" w:rsidRPr="00E83E42" w:rsidRDefault="005218BC" w:rsidP="005218BC">
      <w:pPr>
        <w:rPr>
          <w:b/>
        </w:rPr>
      </w:pPr>
      <w:bookmarkStart w:id="0" w:name="_Toc219794257"/>
      <w:bookmarkStart w:id="1" w:name="_Toc245188792"/>
      <w:r>
        <w:br w:type="page"/>
      </w:r>
      <w:r w:rsidRPr="00E83E42">
        <w:rPr>
          <w:b/>
        </w:rPr>
        <w:lastRenderedPageBreak/>
        <w:t>INFORMATION TO CANDIDATES</w:t>
      </w:r>
    </w:p>
    <w:p w:rsidR="005218BC" w:rsidRDefault="005218BC" w:rsidP="00521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18BC" w:rsidTr="005218BC">
        <w:trPr>
          <w:trHeight w:val="255"/>
        </w:trPr>
        <w:tc>
          <w:tcPr>
            <w:tcW w:w="9242" w:type="dxa"/>
          </w:tcPr>
          <w:p w:rsidR="005218BC" w:rsidRDefault="005218BC" w:rsidP="002D0B70">
            <w:r>
              <w:t xml:space="preserve">The Recommendation of the Examiners following your examination for the degree of </w:t>
            </w:r>
            <w:r w:rsidR="002E596A">
              <w:t>PhD</w:t>
            </w:r>
            <w:r>
              <w:t xml:space="preserve"> was:</w:t>
            </w:r>
          </w:p>
          <w:p w:rsidR="005218BC" w:rsidRDefault="005218BC" w:rsidP="002D0B70"/>
          <w:p w:rsidR="005218BC" w:rsidRDefault="005218BC" w:rsidP="002D0B70"/>
        </w:tc>
      </w:tr>
      <w:tr w:rsidR="005218BC" w:rsidTr="005218BC">
        <w:trPr>
          <w:trHeight w:val="255"/>
        </w:trPr>
        <w:tc>
          <w:tcPr>
            <w:tcW w:w="9242" w:type="dxa"/>
          </w:tcPr>
          <w:p w:rsidR="005218BC" w:rsidRDefault="005218BC" w:rsidP="002D0B70">
            <w:r>
              <w:t>The examiners have supplied the following information to you in respect of their decision:</w:t>
            </w:r>
          </w:p>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tc>
      </w:tr>
    </w:tbl>
    <w:p w:rsidR="00643C9C" w:rsidRPr="004646C3" w:rsidRDefault="00643C9C" w:rsidP="004646C3">
      <w:pPr>
        <w:pStyle w:val="Heading1"/>
        <w:numPr>
          <w:ilvl w:val="0"/>
          <w:numId w:val="0"/>
        </w:numPr>
        <w:rPr>
          <w:rFonts w:ascii="Verdana" w:hAnsi="Verdana"/>
          <w:sz w:val="22"/>
        </w:rPr>
      </w:pPr>
      <w:r w:rsidRPr="00E201C7">
        <w:rPr>
          <w:rFonts w:ascii="Verdana" w:hAnsi="Verdana"/>
          <w:sz w:val="22"/>
        </w:rPr>
        <w:t>CRITERIA OF ASSESSMENT FOR RESEARCH AWARDS</w:t>
      </w:r>
      <w:bookmarkEnd w:id="0"/>
      <w:bookmarkEnd w:id="1"/>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lastRenderedPageBreak/>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lastRenderedPageBreak/>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2" w:name="p4.4"/>
      <w:bookmarkEnd w:id="2"/>
      <w:r w:rsidRPr="004646C3">
        <w:rPr>
          <w:rFonts w:ascii="Calibri" w:hAnsi="Calibri"/>
          <w:sz w:val="22"/>
          <w:szCs w:val="22"/>
        </w:rPr>
        <w:t xml:space="preserve">Descriptor for a higher education qualification at level 7: </w:t>
      </w:r>
      <w:proofErr w:type="spellStart"/>
      <w:r w:rsidR="002E596A">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2E596A">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w:t>
      </w:r>
      <w:bookmarkStart w:id="3" w:name="_GoBack"/>
      <w:bookmarkEnd w:id="3"/>
      <w:r w:rsidRPr="004646C3">
        <w:rPr>
          <w:rFonts w:ascii="Calibri" w:hAnsi="Calibri"/>
          <w:sz w:val="22"/>
          <w:szCs w:val="22"/>
        </w:rPr>
        <w:t xml:space="preserve">d as a reference point for other level 7 qualifications, including postgraduate certificates and postgraduate diplomas. </w:t>
      </w:r>
    </w:p>
    <w:p w:rsidR="00643C9C" w:rsidRPr="004646C3" w:rsidRDefault="002E596A"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lastRenderedPageBreak/>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2E596A">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40 </w:t>
      </w:r>
      <w:r w:rsidR="002E596A">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2E596A">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2E596A">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2E596A">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2E596A">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2E596A">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lastRenderedPageBreak/>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4646C3">
        <w:rPr>
          <w:rFonts w:ascii="Calibri" w:hAnsi="Calibri"/>
          <w:sz w:val="22"/>
          <w:szCs w:val="22"/>
        </w:rPr>
        <w:t>EdD</w:t>
      </w:r>
      <w:proofErr w:type="spellEnd"/>
      <w:r w:rsidRPr="004646C3">
        <w:rPr>
          <w:rFonts w:ascii="Calibri" w:hAnsi="Calibri"/>
          <w:sz w:val="22"/>
          <w:szCs w:val="22"/>
        </w:rPr>
        <w:t xml:space="preserve">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9E0C24"/>
    <w:multiLevelType w:val="hybridMultilevel"/>
    <w:tmpl w:val="DFA4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8"/>
  </w:num>
  <w:num w:numId="3">
    <w:abstractNumId w:val="0"/>
  </w:num>
  <w:num w:numId="4">
    <w:abstractNumId w:val="7"/>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047E32"/>
    <w:rsid w:val="00111CF0"/>
    <w:rsid w:val="00194457"/>
    <w:rsid w:val="001E43CD"/>
    <w:rsid w:val="00217735"/>
    <w:rsid w:val="002244EA"/>
    <w:rsid w:val="002418A3"/>
    <w:rsid w:val="00287C72"/>
    <w:rsid w:val="002A580B"/>
    <w:rsid w:val="002D0B70"/>
    <w:rsid w:val="002E596A"/>
    <w:rsid w:val="00320089"/>
    <w:rsid w:val="003332E5"/>
    <w:rsid w:val="00336766"/>
    <w:rsid w:val="003620D7"/>
    <w:rsid w:val="00375A51"/>
    <w:rsid w:val="004646C3"/>
    <w:rsid w:val="004A3042"/>
    <w:rsid w:val="004F41CF"/>
    <w:rsid w:val="005218BC"/>
    <w:rsid w:val="00643C9C"/>
    <w:rsid w:val="006C5CD6"/>
    <w:rsid w:val="00812C7C"/>
    <w:rsid w:val="00896B8B"/>
    <w:rsid w:val="00941E42"/>
    <w:rsid w:val="009710F2"/>
    <w:rsid w:val="009743F1"/>
    <w:rsid w:val="009A11BA"/>
    <w:rsid w:val="009C088F"/>
    <w:rsid w:val="00A160D5"/>
    <w:rsid w:val="00A3545D"/>
    <w:rsid w:val="00A442CE"/>
    <w:rsid w:val="00A54C81"/>
    <w:rsid w:val="00AB322C"/>
    <w:rsid w:val="00B01ECC"/>
    <w:rsid w:val="00BB0825"/>
    <w:rsid w:val="00CA7D37"/>
    <w:rsid w:val="00DE26A6"/>
    <w:rsid w:val="00E466E0"/>
    <w:rsid w:val="00E91AB5"/>
    <w:rsid w:val="00E91AEF"/>
    <w:rsid w:val="00EF4FC5"/>
    <w:rsid w:val="00F8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7DD30423"/>
  <w15:chartTrackingRefBased/>
  <w15:docId w15:val="{24B8DAF6-64E6-4C5F-A57C-E5962405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3114</Words>
  <Characters>17756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dc:description/>
  <cp:lastModifiedBy>Braithwaite, Carrie</cp:lastModifiedBy>
  <cp:revision>2</cp:revision>
  <dcterms:created xsi:type="dcterms:W3CDTF">2018-06-01T10:54:00Z</dcterms:created>
  <dcterms:modified xsi:type="dcterms:W3CDTF">2018-06-01T10:54:00Z</dcterms:modified>
</cp:coreProperties>
</file>