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B9" w:rsidRDefault="00F824C7" w:rsidP="003D6FB9">
      <w:pPr>
        <w:spacing w:after="0"/>
        <w:rPr>
          <w:b/>
          <w:sz w:val="24"/>
          <w:szCs w:val="24"/>
        </w:rPr>
      </w:pPr>
      <w:r>
        <w:rPr>
          <w:noProof/>
          <w:lang w:eastAsia="en-GB"/>
        </w:rPr>
        <w:drawing>
          <wp:inline distT="0" distB="0" distL="0" distR="0">
            <wp:extent cx="2127714" cy="893306"/>
            <wp:effectExtent l="0" t="0" r="6350" b="2540"/>
            <wp:docPr id="2" name="Picture 2" descr="http://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beckett.ac.uk/staffsite/-/media/files/staff-site/marketing/new-logo-download/2018_lbu01_blackjpg.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3683" cy="904209"/>
                    </a:xfrm>
                    <a:prstGeom prst="rect">
                      <a:avLst/>
                    </a:prstGeom>
                    <a:noFill/>
                    <a:ln>
                      <a:noFill/>
                    </a:ln>
                  </pic:spPr>
                </pic:pic>
              </a:graphicData>
            </a:graphic>
          </wp:inline>
        </w:drawing>
      </w:r>
      <w:r w:rsidR="003D6FB9">
        <w:tab/>
      </w:r>
      <w:r w:rsidR="003D6FB9">
        <w:tab/>
      </w:r>
      <w:r w:rsidR="003D6FB9">
        <w:tab/>
      </w:r>
      <w:r w:rsidR="003D6FB9">
        <w:tab/>
      </w:r>
      <w:r w:rsidR="003D6FB9">
        <w:tab/>
      </w:r>
      <w:r w:rsidR="003D6FB9">
        <w:tab/>
      </w:r>
      <w:r w:rsidR="00CD2698">
        <w:rPr>
          <w:b/>
          <w:sz w:val="24"/>
          <w:szCs w:val="24"/>
        </w:rPr>
        <w:t>People Team</w:t>
      </w:r>
    </w:p>
    <w:p w:rsidR="003D6FB9" w:rsidRDefault="003D6FB9" w:rsidP="003D6FB9">
      <w:pPr>
        <w:spacing w:after="0"/>
        <w:rPr>
          <w:b/>
          <w:sz w:val="24"/>
          <w:szCs w:val="24"/>
        </w:rPr>
      </w:pPr>
    </w:p>
    <w:p w:rsidR="003D6FB9" w:rsidRDefault="003D6FB9" w:rsidP="003D6FB9">
      <w:pPr>
        <w:spacing w:after="0" w:line="240" w:lineRule="auto"/>
        <w:jc w:val="center"/>
        <w:rPr>
          <w:rFonts w:cstheme="minorHAnsi"/>
          <w:b/>
          <w:sz w:val="32"/>
          <w:szCs w:val="32"/>
        </w:rPr>
      </w:pPr>
      <w:r>
        <w:rPr>
          <w:rFonts w:cstheme="minorHAnsi"/>
          <w:b/>
          <w:sz w:val="32"/>
          <w:szCs w:val="32"/>
        </w:rPr>
        <w:t>ALCOHOL AND DRUGS MISUSE POLICY AND PROCEDURE</w:t>
      </w:r>
    </w:p>
    <w:p w:rsidR="003D6FB9" w:rsidRPr="00167CA7" w:rsidRDefault="003D6FB9" w:rsidP="003D6FB9">
      <w:pPr>
        <w:spacing w:after="0" w:line="240" w:lineRule="auto"/>
        <w:jc w:val="center"/>
        <w:rPr>
          <w:rFonts w:cstheme="minorHAnsi"/>
          <w:b/>
          <w:sz w:val="32"/>
          <w:szCs w:val="32"/>
        </w:rPr>
      </w:pPr>
      <w:r>
        <w:rPr>
          <w:rFonts w:cstheme="minorHAnsi"/>
          <w:b/>
          <w:sz w:val="32"/>
          <w:szCs w:val="32"/>
        </w:rPr>
        <w:t>GUIDANCE FOR MANAGERS</w:t>
      </w:r>
    </w:p>
    <w:p w:rsidR="003D6FB9" w:rsidRDefault="003D6FB9" w:rsidP="00C57574">
      <w:pPr>
        <w:spacing w:after="0" w:line="240" w:lineRule="auto"/>
        <w:jc w:val="both"/>
        <w:rPr>
          <w:rFonts w:ascii="Calibri" w:eastAsia="Times New Roman" w:hAnsi="Calibri" w:cs="Calibri"/>
          <w:b/>
          <w:lang w:eastAsia="en-GB"/>
        </w:rPr>
      </w:pPr>
    </w:p>
    <w:p w:rsidR="00C57574" w:rsidRPr="00C57574" w:rsidRDefault="00C57574" w:rsidP="00C57574">
      <w:pPr>
        <w:spacing w:after="0" w:line="240" w:lineRule="auto"/>
        <w:jc w:val="both"/>
        <w:rPr>
          <w:rFonts w:ascii="Calibri" w:eastAsia="Times New Roman" w:hAnsi="Calibri" w:cs="Calibri"/>
          <w:lang w:eastAsia="en-GB"/>
        </w:rPr>
      </w:pPr>
    </w:p>
    <w:p w:rsidR="00C57574" w:rsidRPr="00C57574" w:rsidRDefault="00C57574" w:rsidP="00CC31D4">
      <w:pPr>
        <w:spacing w:after="0" w:line="240" w:lineRule="auto"/>
        <w:jc w:val="both"/>
        <w:rPr>
          <w:rFonts w:ascii="Calibri" w:eastAsia="Times New Roman" w:hAnsi="Calibri" w:cs="Calibri"/>
          <w:b/>
          <w:lang w:eastAsia="en-GB"/>
        </w:rPr>
      </w:pPr>
      <w:r w:rsidRPr="00C57574">
        <w:rPr>
          <w:rFonts w:ascii="Calibri" w:eastAsia="Times New Roman" w:hAnsi="Calibri" w:cs="Calibri"/>
          <w:b/>
          <w:lang w:eastAsia="en-GB"/>
        </w:rPr>
        <w:t>Recognising Alcohol or Drug misuse</w:t>
      </w:r>
    </w:p>
    <w:p w:rsidR="00C57574" w:rsidRPr="00C57574" w:rsidRDefault="00C57574" w:rsidP="00CC31D4">
      <w:pPr>
        <w:spacing w:after="0" w:line="240" w:lineRule="auto"/>
        <w:jc w:val="both"/>
        <w:rPr>
          <w:rFonts w:ascii="Calibri" w:eastAsia="Times New Roman" w:hAnsi="Calibri" w:cs="Calibri"/>
          <w:lang w:eastAsia="en-GB"/>
        </w:rPr>
      </w:pPr>
    </w:p>
    <w:p w:rsidR="00CA135F" w:rsidRDefault="00CA135F" w:rsidP="00CC31D4">
      <w:pPr>
        <w:pStyle w:val="CM60"/>
        <w:jc w:val="both"/>
        <w:rPr>
          <w:rFonts w:asciiTheme="minorHAnsi" w:hAnsiTheme="minorHAnsi" w:cstheme="minorHAnsi"/>
          <w:sz w:val="22"/>
          <w:szCs w:val="22"/>
        </w:rPr>
      </w:pPr>
      <w:r w:rsidRPr="00CA135F">
        <w:rPr>
          <w:rFonts w:asciiTheme="minorHAnsi" w:hAnsiTheme="minorHAnsi" w:cstheme="minorHAnsi"/>
          <w:sz w:val="22"/>
          <w:szCs w:val="22"/>
        </w:rPr>
        <w:t xml:space="preserve">Alcohol and drug misuse </w:t>
      </w:r>
      <w:bookmarkStart w:id="0" w:name="_GoBack"/>
      <w:bookmarkEnd w:id="0"/>
      <w:r w:rsidRPr="00CA135F">
        <w:rPr>
          <w:rFonts w:asciiTheme="minorHAnsi" w:hAnsiTheme="minorHAnsi" w:cstheme="minorHAnsi"/>
          <w:sz w:val="22"/>
          <w:szCs w:val="22"/>
        </w:rPr>
        <w:t xml:space="preserve">impairs judgement, concentration and co-ordination (among other problems). The following indicators are signs of possible alcohol or drug misuse (it’s important to note that these can also be caused by other factors, such as stress, physical illness, mental health problems or the effects of prescription drugs; each case should be considered on its merits): </w:t>
      </w:r>
    </w:p>
    <w:p w:rsidR="00F339A9" w:rsidRPr="00F339A9" w:rsidRDefault="00F339A9" w:rsidP="00F339A9">
      <w:pPr>
        <w:pStyle w:val="Default"/>
      </w:pP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repeated patterns of depression, or fatigue from sleeplessness, which last two to three days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erratic performance </w:t>
      </w:r>
    </w:p>
    <w:p w:rsid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unusual irritability or aggression</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overconfidence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inappropriate behaviour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sudden mood changes from extreme happiness to severe depression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reduced response times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a tendency to become confused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reduced productivity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absenteeism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poor time-keeping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lack of discipline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deterioration in relationships with colleagues, customers or management </w:t>
      </w:r>
    </w:p>
    <w:p w:rsidR="00CA135F" w:rsidRP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dishonesty and theft </w:t>
      </w:r>
    </w:p>
    <w:p w:rsidR="00CA135F" w:rsidRDefault="00CA135F" w:rsidP="004B7B6C">
      <w:pPr>
        <w:pStyle w:val="Default"/>
        <w:numPr>
          <w:ilvl w:val="0"/>
          <w:numId w:val="11"/>
        </w:numPr>
        <w:ind w:left="714" w:hanging="357"/>
        <w:rPr>
          <w:rFonts w:asciiTheme="minorHAnsi" w:hAnsiTheme="minorHAnsi" w:cstheme="minorHAnsi"/>
          <w:color w:val="auto"/>
          <w:sz w:val="22"/>
          <w:szCs w:val="22"/>
        </w:rPr>
      </w:pPr>
      <w:r w:rsidRPr="00CA135F">
        <w:rPr>
          <w:rFonts w:asciiTheme="minorHAnsi" w:hAnsiTheme="minorHAnsi" w:cstheme="minorHAnsi"/>
          <w:color w:val="auto"/>
          <w:sz w:val="22"/>
          <w:szCs w:val="22"/>
        </w:rPr>
        <w:t xml:space="preserve">financial irregularities. </w:t>
      </w:r>
    </w:p>
    <w:p w:rsidR="00CA135F" w:rsidRDefault="00CA135F" w:rsidP="00CC31D4">
      <w:pPr>
        <w:pStyle w:val="Default"/>
        <w:rPr>
          <w:rFonts w:asciiTheme="minorHAnsi" w:hAnsiTheme="minorHAnsi" w:cstheme="minorHAnsi"/>
          <w:color w:val="auto"/>
          <w:sz w:val="22"/>
          <w:szCs w:val="22"/>
        </w:rPr>
      </w:pPr>
    </w:p>
    <w:p w:rsidR="00CA135F" w:rsidRDefault="00CA135F" w:rsidP="00CC31D4">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163892">
        <w:rPr>
          <w:rFonts w:asciiTheme="minorHAnsi" w:hAnsiTheme="minorHAnsi" w:cstheme="minorHAnsi"/>
          <w:color w:val="auto"/>
          <w:sz w:val="22"/>
          <w:szCs w:val="22"/>
        </w:rPr>
        <w:t xml:space="preserve">taken from </w:t>
      </w:r>
      <w:r w:rsidRPr="00163892">
        <w:rPr>
          <w:rFonts w:asciiTheme="minorHAnsi" w:hAnsiTheme="minorHAnsi" w:cstheme="minorHAnsi"/>
          <w:color w:val="auto"/>
          <w:sz w:val="22"/>
          <w:szCs w:val="22"/>
          <w:u w:val="single"/>
        </w:rPr>
        <w:t>Managing drug and alcohol misuse at work</w:t>
      </w:r>
      <w:r w:rsidR="00163892">
        <w:rPr>
          <w:rFonts w:asciiTheme="minorHAnsi" w:hAnsiTheme="minorHAnsi" w:cstheme="minorHAnsi"/>
          <w:color w:val="auto"/>
          <w:sz w:val="22"/>
          <w:szCs w:val="22"/>
        </w:rPr>
        <w:t>, CIPD</w:t>
      </w:r>
      <w:r>
        <w:rPr>
          <w:rFonts w:asciiTheme="minorHAnsi" w:hAnsiTheme="minorHAnsi" w:cstheme="minorHAnsi"/>
          <w:color w:val="auto"/>
          <w:sz w:val="22"/>
          <w:szCs w:val="22"/>
        </w:rPr>
        <w:t>)</w:t>
      </w:r>
    </w:p>
    <w:p w:rsidR="00CA135F" w:rsidRDefault="00CA135F" w:rsidP="00CC31D4">
      <w:pPr>
        <w:pStyle w:val="Default"/>
        <w:rPr>
          <w:rFonts w:asciiTheme="minorHAnsi" w:hAnsiTheme="minorHAnsi" w:cstheme="minorHAnsi"/>
          <w:color w:val="auto"/>
          <w:sz w:val="22"/>
          <w:szCs w:val="22"/>
        </w:rPr>
      </w:pPr>
    </w:p>
    <w:p w:rsidR="00C57574" w:rsidRDefault="00C57574" w:rsidP="00CC31D4">
      <w:pPr>
        <w:spacing w:after="0" w:line="240" w:lineRule="auto"/>
        <w:jc w:val="both"/>
        <w:rPr>
          <w:rFonts w:ascii="Calibri" w:eastAsia="Times New Roman" w:hAnsi="Calibri" w:cs="Calibri"/>
          <w:b/>
          <w:lang w:eastAsia="en-GB"/>
        </w:rPr>
      </w:pPr>
      <w:r w:rsidRPr="00C57574">
        <w:rPr>
          <w:rFonts w:ascii="Calibri" w:eastAsia="Times New Roman" w:hAnsi="Calibri" w:cs="Calibri"/>
          <w:b/>
          <w:lang w:eastAsia="en-GB"/>
        </w:rPr>
        <w:t>Meeting with the employee</w:t>
      </w:r>
    </w:p>
    <w:p w:rsidR="003D6FB9" w:rsidRDefault="003D6FB9" w:rsidP="00CC31D4">
      <w:pPr>
        <w:spacing w:after="0" w:line="240" w:lineRule="auto"/>
        <w:jc w:val="both"/>
        <w:rPr>
          <w:rFonts w:ascii="Calibri" w:eastAsia="Times New Roman" w:hAnsi="Calibri" w:cs="Calibri"/>
          <w:b/>
          <w:lang w:eastAsia="en-GB"/>
        </w:rPr>
      </w:pPr>
    </w:p>
    <w:p w:rsidR="00CC31D4" w:rsidRDefault="003D6FB9" w:rsidP="00CC31D4">
      <w:pPr>
        <w:spacing w:after="0" w:line="240" w:lineRule="auto"/>
        <w:jc w:val="both"/>
        <w:rPr>
          <w:rFonts w:ascii="Calibri" w:eastAsia="Times New Roman" w:hAnsi="Calibri" w:cs="Calibri"/>
          <w:lang w:eastAsia="en-GB"/>
        </w:rPr>
      </w:pPr>
      <w:r w:rsidRPr="00C57574">
        <w:rPr>
          <w:rFonts w:ascii="Calibri" w:eastAsia="Times New Roman" w:hAnsi="Calibri" w:cs="Calibri"/>
          <w:lang w:eastAsia="en-GB"/>
        </w:rPr>
        <w:t xml:space="preserve">The </w:t>
      </w:r>
      <w:r>
        <w:rPr>
          <w:rFonts w:ascii="Calibri" w:eastAsia="Times New Roman" w:hAnsi="Calibri" w:cs="Calibri"/>
          <w:lang w:eastAsia="en-GB"/>
        </w:rPr>
        <w:t>Alcohol and Drugs Misuse Policy and Procedure</w:t>
      </w:r>
      <w:r w:rsidRPr="00C57574">
        <w:rPr>
          <w:rFonts w:ascii="Calibri" w:eastAsia="Times New Roman" w:hAnsi="Calibri" w:cs="Calibri"/>
          <w:lang w:eastAsia="en-GB"/>
        </w:rPr>
        <w:t xml:space="preserve"> emphasise the commitment of our University to support and help employees who may be suffering from an alcohol</w:t>
      </w:r>
      <w:r w:rsidR="00CA135F">
        <w:rPr>
          <w:rFonts w:ascii="Calibri" w:eastAsia="Times New Roman" w:hAnsi="Calibri" w:cs="Calibri"/>
          <w:lang w:eastAsia="en-GB"/>
        </w:rPr>
        <w:t>, substance</w:t>
      </w:r>
      <w:r w:rsidRPr="00C57574">
        <w:rPr>
          <w:rFonts w:ascii="Calibri" w:eastAsia="Times New Roman" w:hAnsi="Calibri" w:cs="Calibri"/>
          <w:lang w:eastAsia="en-GB"/>
        </w:rPr>
        <w:t xml:space="preserve"> or drug dependency.</w:t>
      </w:r>
      <w:r w:rsidR="00015D1F">
        <w:rPr>
          <w:rFonts w:ascii="Calibri" w:eastAsia="Times New Roman" w:hAnsi="Calibri" w:cs="Calibri"/>
          <w:lang w:eastAsia="en-GB"/>
        </w:rPr>
        <w:t xml:space="preserve">  Managers should adopt a constructive and sensitive approach to identification of the issue and offer help in a supportive and confidential environment.</w:t>
      </w:r>
      <w:r w:rsidR="00B60C48">
        <w:rPr>
          <w:rFonts w:ascii="Calibri" w:eastAsia="Times New Roman" w:hAnsi="Calibri" w:cs="Calibri"/>
          <w:lang w:eastAsia="en-GB"/>
        </w:rPr>
        <w:t xml:space="preserve">  </w:t>
      </w:r>
      <w:r w:rsidR="005174E8">
        <w:rPr>
          <w:rFonts w:ascii="Calibri" w:eastAsia="Times New Roman" w:hAnsi="Calibri" w:cs="Calibri"/>
          <w:lang w:eastAsia="en-GB"/>
        </w:rPr>
        <w:t>There may be a range of contributing factors to alcohol and drug misuse, including stress, mental health problems and disability.</w:t>
      </w:r>
      <w:r w:rsidR="0081169E">
        <w:rPr>
          <w:rFonts w:ascii="Calibri" w:eastAsia="Times New Roman" w:hAnsi="Calibri" w:cs="Calibri"/>
          <w:lang w:eastAsia="en-GB"/>
        </w:rPr>
        <w:t xml:space="preserve">  </w:t>
      </w:r>
      <w:r w:rsidRPr="00C57574">
        <w:rPr>
          <w:rFonts w:ascii="Calibri" w:eastAsia="Times New Roman" w:hAnsi="Calibri" w:cs="Calibri"/>
          <w:lang w:eastAsia="en-GB"/>
        </w:rPr>
        <w:t xml:space="preserve">  </w:t>
      </w:r>
    </w:p>
    <w:p w:rsidR="00CC31D4" w:rsidRDefault="00CC31D4" w:rsidP="00CC31D4">
      <w:pPr>
        <w:spacing w:after="0" w:line="240" w:lineRule="auto"/>
        <w:jc w:val="both"/>
        <w:rPr>
          <w:rFonts w:ascii="Calibri" w:eastAsia="Times New Roman" w:hAnsi="Calibri" w:cs="Calibri"/>
          <w:lang w:eastAsia="en-GB"/>
        </w:rPr>
      </w:pPr>
    </w:p>
    <w:p w:rsidR="003D6FB9" w:rsidRDefault="00015D1F" w:rsidP="00CC31D4">
      <w:pPr>
        <w:spacing w:after="0" w:line="240" w:lineRule="auto"/>
        <w:jc w:val="both"/>
        <w:rPr>
          <w:rFonts w:ascii="Calibri" w:eastAsia="Times New Roman" w:hAnsi="Calibri" w:cs="Calibri"/>
          <w:lang w:eastAsia="en-GB"/>
        </w:rPr>
      </w:pPr>
      <w:r>
        <w:rPr>
          <w:rFonts w:ascii="Calibri" w:eastAsia="Times New Roman" w:hAnsi="Calibri" w:cs="Calibri"/>
          <w:lang w:eastAsia="en-GB"/>
        </w:rPr>
        <w:t xml:space="preserve">It may be helpful to consider the following in </w:t>
      </w:r>
      <w:r w:rsidR="00CC31D4">
        <w:rPr>
          <w:rFonts w:ascii="Calibri" w:eastAsia="Times New Roman" w:hAnsi="Calibri" w:cs="Calibri"/>
          <w:lang w:eastAsia="en-GB"/>
        </w:rPr>
        <w:t xml:space="preserve">preparing for </w:t>
      </w:r>
      <w:r>
        <w:rPr>
          <w:rFonts w:ascii="Calibri" w:eastAsia="Times New Roman" w:hAnsi="Calibri" w:cs="Calibri"/>
          <w:lang w:eastAsia="en-GB"/>
        </w:rPr>
        <w:t>meetings with employees with suspected alcohol or drug related problems</w:t>
      </w:r>
      <w:r w:rsidR="0081169E">
        <w:rPr>
          <w:rFonts w:ascii="Calibri" w:eastAsia="Times New Roman" w:hAnsi="Calibri" w:cs="Calibri"/>
          <w:lang w:eastAsia="en-GB"/>
        </w:rPr>
        <w:t xml:space="preserve">. Further advice may be sought from </w:t>
      </w:r>
      <w:r w:rsidR="00CD2698">
        <w:rPr>
          <w:rFonts w:ascii="Calibri" w:eastAsia="Times New Roman" w:hAnsi="Calibri" w:cs="Calibri"/>
          <w:lang w:eastAsia="en-GB"/>
        </w:rPr>
        <w:t>the People Team</w:t>
      </w:r>
      <w:r w:rsidR="0081169E">
        <w:rPr>
          <w:rFonts w:ascii="Calibri" w:eastAsia="Times New Roman" w:hAnsi="Calibri" w:cs="Calibri"/>
          <w:lang w:eastAsia="en-GB"/>
        </w:rPr>
        <w:t>.</w:t>
      </w:r>
    </w:p>
    <w:p w:rsidR="00015D1F" w:rsidRDefault="00015D1F" w:rsidP="00CC31D4">
      <w:pPr>
        <w:spacing w:after="0" w:line="240" w:lineRule="auto"/>
        <w:jc w:val="both"/>
        <w:rPr>
          <w:rFonts w:ascii="Calibri" w:eastAsia="Times New Roman" w:hAnsi="Calibri" w:cs="Calibri"/>
          <w:lang w:eastAsia="en-GB"/>
        </w:rPr>
      </w:pPr>
    </w:p>
    <w:p w:rsidR="00015D1F" w:rsidRDefault="00015D1F" w:rsidP="00CC31D4">
      <w:pPr>
        <w:pStyle w:val="ListParagraph"/>
        <w:numPr>
          <w:ilvl w:val="0"/>
          <w:numId w:val="14"/>
        </w:numPr>
        <w:spacing w:after="0" w:line="240" w:lineRule="auto"/>
        <w:jc w:val="both"/>
        <w:rPr>
          <w:rFonts w:cs="Calibri"/>
          <w:lang w:eastAsia="en-GB"/>
        </w:rPr>
      </w:pPr>
      <w:r>
        <w:rPr>
          <w:rFonts w:cs="Calibri"/>
          <w:lang w:eastAsia="en-GB"/>
        </w:rPr>
        <w:t>Concentrate on the instances of poor performance and/or conduct that have been identified, and give employees the opportunity to explain their behaviour.</w:t>
      </w:r>
    </w:p>
    <w:p w:rsidR="00CC31D4" w:rsidRDefault="00CC31D4" w:rsidP="00CC31D4">
      <w:pPr>
        <w:pStyle w:val="ListParagraph"/>
        <w:numPr>
          <w:ilvl w:val="0"/>
          <w:numId w:val="14"/>
        </w:numPr>
        <w:spacing w:after="0" w:line="240" w:lineRule="auto"/>
        <w:jc w:val="both"/>
        <w:rPr>
          <w:rFonts w:cs="Calibri"/>
          <w:lang w:eastAsia="en-GB"/>
        </w:rPr>
      </w:pPr>
      <w:r>
        <w:rPr>
          <w:rFonts w:cs="Calibri"/>
          <w:lang w:eastAsia="en-GB"/>
        </w:rPr>
        <w:t xml:space="preserve">Inform employees of the seriousness of the misconduct/poor performance.  It is important that employees are made aware that in cases of </w:t>
      </w:r>
      <w:r w:rsidR="00F339A9">
        <w:rPr>
          <w:rFonts w:cs="Calibri"/>
          <w:lang w:eastAsia="en-GB"/>
        </w:rPr>
        <w:t xml:space="preserve">misconduct or </w:t>
      </w:r>
      <w:r>
        <w:rPr>
          <w:rFonts w:cs="Calibri"/>
          <w:lang w:eastAsia="en-GB"/>
        </w:rPr>
        <w:t xml:space="preserve">continued poor performance it may be necessary to instigate the Disciplinary or Performance Management Procedure.  </w:t>
      </w:r>
    </w:p>
    <w:p w:rsidR="00CC31D4" w:rsidRPr="00CC31D4" w:rsidRDefault="00CC31D4" w:rsidP="00CC31D4">
      <w:pPr>
        <w:spacing w:after="0" w:line="240" w:lineRule="auto"/>
        <w:jc w:val="both"/>
        <w:rPr>
          <w:rFonts w:cs="Calibri"/>
          <w:lang w:eastAsia="en-GB"/>
        </w:rPr>
      </w:pPr>
    </w:p>
    <w:p w:rsidR="00015D1F" w:rsidRPr="00015D1F" w:rsidRDefault="00015D1F" w:rsidP="00CC31D4">
      <w:pPr>
        <w:pStyle w:val="ListParagraph"/>
        <w:numPr>
          <w:ilvl w:val="0"/>
          <w:numId w:val="14"/>
        </w:numPr>
        <w:tabs>
          <w:tab w:val="left" w:pos="142"/>
        </w:tabs>
        <w:spacing w:after="0" w:line="240" w:lineRule="auto"/>
        <w:jc w:val="both"/>
        <w:rPr>
          <w:rFonts w:cs="Calibri"/>
        </w:rPr>
      </w:pPr>
      <w:r w:rsidRPr="00015D1F">
        <w:rPr>
          <w:rFonts w:cs="Calibri"/>
          <w:lang w:eastAsia="en-GB"/>
        </w:rPr>
        <w:lastRenderedPageBreak/>
        <w:t xml:space="preserve">Where appropriate, discuss a referral to Occupational Health.  The leaflet outlining the role of Occupational Health may be given to employees.  </w:t>
      </w:r>
      <w:r w:rsidRPr="00015D1F">
        <w:rPr>
          <w:rFonts w:cs="Calibri"/>
        </w:rPr>
        <w:t xml:space="preserve">Referral to Occupational Health is to provide professional support and advice to managers.  At the same time Occupational Health may advise employees with regard to their health and </w:t>
      </w:r>
      <w:r w:rsidR="006B3F40">
        <w:rPr>
          <w:rFonts w:cs="Calibri"/>
        </w:rPr>
        <w:t xml:space="preserve">encourage them to </w:t>
      </w:r>
      <w:r w:rsidRPr="00015D1F">
        <w:rPr>
          <w:rFonts w:cs="Calibri"/>
        </w:rPr>
        <w:t xml:space="preserve">access </w:t>
      </w:r>
      <w:r w:rsidR="006B3F40">
        <w:rPr>
          <w:rFonts w:cs="Calibri"/>
        </w:rPr>
        <w:t xml:space="preserve">support </w:t>
      </w:r>
      <w:r w:rsidRPr="00015D1F">
        <w:rPr>
          <w:rFonts w:cs="Calibri"/>
        </w:rPr>
        <w:t>through their GP.</w:t>
      </w:r>
    </w:p>
    <w:p w:rsidR="00015D1F" w:rsidRDefault="00015D1F" w:rsidP="00CC31D4">
      <w:pPr>
        <w:pStyle w:val="ListParagraph"/>
        <w:numPr>
          <w:ilvl w:val="0"/>
          <w:numId w:val="14"/>
        </w:numPr>
        <w:spacing w:after="0" w:line="240" w:lineRule="auto"/>
        <w:jc w:val="both"/>
        <w:rPr>
          <w:rFonts w:cs="Calibri"/>
          <w:lang w:eastAsia="en-GB"/>
        </w:rPr>
      </w:pPr>
      <w:r>
        <w:rPr>
          <w:rFonts w:cs="Calibri"/>
          <w:lang w:eastAsia="en-GB"/>
        </w:rPr>
        <w:t>Agree future action and specify a timescale for review.</w:t>
      </w:r>
    </w:p>
    <w:p w:rsidR="00015D1F" w:rsidRDefault="00015D1F" w:rsidP="00CC31D4">
      <w:pPr>
        <w:pStyle w:val="ListParagraph"/>
        <w:numPr>
          <w:ilvl w:val="0"/>
          <w:numId w:val="14"/>
        </w:numPr>
        <w:spacing w:after="0" w:line="240" w:lineRule="auto"/>
        <w:jc w:val="both"/>
        <w:rPr>
          <w:rFonts w:cs="Calibri"/>
          <w:lang w:eastAsia="en-GB"/>
        </w:rPr>
      </w:pPr>
      <w:r>
        <w:rPr>
          <w:rFonts w:cs="Calibri"/>
          <w:lang w:eastAsia="en-GB"/>
        </w:rPr>
        <w:t>Arrange regular meetings to monitor progress and discuss any further problems if they arise.</w:t>
      </w:r>
    </w:p>
    <w:p w:rsidR="00C57574" w:rsidRPr="00CC31D4" w:rsidRDefault="00CC31D4" w:rsidP="00CC31D4">
      <w:pPr>
        <w:pStyle w:val="ListParagraph"/>
        <w:numPr>
          <w:ilvl w:val="0"/>
          <w:numId w:val="14"/>
        </w:numPr>
        <w:spacing w:after="0" w:line="240" w:lineRule="auto"/>
        <w:jc w:val="both"/>
        <w:rPr>
          <w:rFonts w:eastAsia="Calibri"/>
        </w:rPr>
      </w:pPr>
      <w:r w:rsidRPr="00CC31D4">
        <w:rPr>
          <w:rFonts w:cs="Calibri"/>
          <w:lang w:eastAsia="en-GB"/>
        </w:rPr>
        <w:t xml:space="preserve">Take notes during the meeting and confirm the </w:t>
      </w:r>
      <w:r w:rsidR="00F03AE0" w:rsidRPr="00CC31D4">
        <w:rPr>
          <w:rFonts w:eastAsia="Calibri"/>
        </w:rPr>
        <w:t>outcome of the meeting in writing to the employee.</w:t>
      </w:r>
    </w:p>
    <w:p w:rsidR="00C57574" w:rsidRPr="00F03AE0" w:rsidRDefault="00C57574" w:rsidP="00CC31D4">
      <w:pPr>
        <w:spacing w:after="0" w:line="240" w:lineRule="auto"/>
        <w:jc w:val="both"/>
        <w:rPr>
          <w:rFonts w:ascii="Calibri" w:eastAsia="Calibri" w:hAnsi="Calibri" w:cs="Times New Roman"/>
        </w:rPr>
      </w:pPr>
    </w:p>
    <w:p w:rsidR="00C57574" w:rsidRPr="00C57574" w:rsidRDefault="00C57574" w:rsidP="00CC31D4">
      <w:pPr>
        <w:spacing w:after="0" w:line="240" w:lineRule="auto"/>
        <w:jc w:val="both"/>
        <w:rPr>
          <w:rFonts w:ascii="Calibri" w:eastAsia="Calibri" w:hAnsi="Calibri" w:cs="Times New Roman"/>
          <w:sz w:val="24"/>
          <w:szCs w:val="24"/>
        </w:rPr>
      </w:pPr>
    </w:p>
    <w:sectPr w:rsidR="00C57574" w:rsidRPr="00C57574" w:rsidSect="00CA135F">
      <w:headerReference w:type="even" r:id="rId9"/>
      <w:headerReference w:type="default" r:id="rId10"/>
      <w:footerReference w:type="even" r:id="rId11"/>
      <w:footerReference w:type="default" r:id="rId12"/>
      <w:headerReference w:type="first" r:id="rId13"/>
      <w:footerReference w:type="first" r:id="rId14"/>
      <w:pgSz w:w="11906" w:h="16838"/>
      <w:pgMar w:top="1077" w:right="1418" w:bottom="107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E8" w:rsidRDefault="005174E8">
      <w:pPr>
        <w:spacing w:after="0" w:line="240" w:lineRule="auto"/>
      </w:pPr>
      <w:r>
        <w:separator/>
      </w:r>
    </w:p>
  </w:endnote>
  <w:endnote w:type="continuationSeparator" w:id="0">
    <w:p w:rsidR="005174E8" w:rsidRDefault="0051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92" w:rsidRDefault="00B2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92" w:rsidRDefault="00B2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92" w:rsidRPr="00B24292" w:rsidRDefault="00B24292" w:rsidP="00B24292">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E8" w:rsidRDefault="005174E8">
      <w:pPr>
        <w:spacing w:after="0" w:line="240" w:lineRule="auto"/>
      </w:pPr>
      <w:r>
        <w:separator/>
      </w:r>
    </w:p>
  </w:footnote>
  <w:footnote w:type="continuationSeparator" w:id="0">
    <w:p w:rsidR="005174E8" w:rsidRDefault="00517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92" w:rsidRDefault="00B2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4E8" w:rsidRDefault="00517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292" w:rsidRDefault="00B2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0D99"/>
    <w:multiLevelType w:val="hybridMultilevel"/>
    <w:tmpl w:val="B660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7F1D8"/>
    <w:multiLevelType w:val="hybridMultilevel"/>
    <w:tmpl w:val="B0AA00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C4064E"/>
    <w:multiLevelType w:val="hybridMultilevel"/>
    <w:tmpl w:val="158F5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65C4AD4"/>
    <w:multiLevelType w:val="hybridMultilevel"/>
    <w:tmpl w:val="897498AE"/>
    <w:lvl w:ilvl="0" w:tplc="B352DC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A644E"/>
    <w:multiLevelType w:val="hybridMultilevel"/>
    <w:tmpl w:val="09CE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59A3"/>
    <w:multiLevelType w:val="hybridMultilevel"/>
    <w:tmpl w:val="25A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D2662"/>
    <w:multiLevelType w:val="hybridMultilevel"/>
    <w:tmpl w:val="59D00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117EBD"/>
    <w:multiLevelType w:val="hybridMultilevel"/>
    <w:tmpl w:val="DA66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96BED"/>
    <w:multiLevelType w:val="hybridMultilevel"/>
    <w:tmpl w:val="5A877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E0303E"/>
    <w:multiLevelType w:val="hybridMultilevel"/>
    <w:tmpl w:val="DEAC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B5844"/>
    <w:multiLevelType w:val="hybridMultilevel"/>
    <w:tmpl w:val="C94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A54E8"/>
    <w:multiLevelType w:val="hybridMultilevel"/>
    <w:tmpl w:val="4010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961A9"/>
    <w:multiLevelType w:val="hybridMultilevel"/>
    <w:tmpl w:val="AD845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66281"/>
    <w:multiLevelType w:val="hybridMultilevel"/>
    <w:tmpl w:val="67A2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3"/>
  </w:num>
  <w:num w:numId="5">
    <w:abstractNumId w:val="12"/>
  </w:num>
  <w:num w:numId="6">
    <w:abstractNumId w:val="10"/>
  </w:num>
  <w:num w:numId="7">
    <w:abstractNumId w:val="3"/>
  </w:num>
  <w:num w:numId="8">
    <w:abstractNumId w:val="5"/>
  </w:num>
  <w:num w:numId="9">
    <w:abstractNumId w:val="7"/>
  </w:num>
  <w:num w:numId="10">
    <w:abstractNumId w:val="0"/>
  </w:num>
  <w:num w:numId="11">
    <w:abstractNumId w:val="8"/>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74"/>
    <w:rsid w:val="000061AE"/>
    <w:rsid w:val="00015D1F"/>
    <w:rsid w:val="000B4DFD"/>
    <w:rsid w:val="00163892"/>
    <w:rsid w:val="00173AB9"/>
    <w:rsid w:val="00320D0E"/>
    <w:rsid w:val="003D6FB9"/>
    <w:rsid w:val="00445600"/>
    <w:rsid w:val="004B7B6C"/>
    <w:rsid w:val="005174E8"/>
    <w:rsid w:val="005A263A"/>
    <w:rsid w:val="00630AF6"/>
    <w:rsid w:val="006B3F40"/>
    <w:rsid w:val="00727DBE"/>
    <w:rsid w:val="00734FBA"/>
    <w:rsid w:val="007F1946"/>
    <w:rsid w:val="0081169E"/>
    <w:rsid w:val="00B24292"/>
    <w:rsid w:val="00B60C48"/>
    <w:rsid w:val="00C57574"/>
    <w:rsid w:val="00CA135F"/>
    <w:rsid w:val="00CC31D4"/>
    <w:rsid w:val="00CD2698"/>
    <w:rsid w:val="00D51E1A"/>
    <w:rsid w:val="00F03AE0"/>
    <w:rsid w:val="00F339A9"/>
    <w:rsid w:val="00F8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33C65"/>
  <w15:docId w15:val="{7C00EE26-626D-4BFE-87E2-8D9A61B1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7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575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7574"/>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57574"/>
    <w:rPr>
      <w:rFonts w:ascii="Times New Roman" w:eastAsia="Times New Roman" w:hAnsi="Times New Roman" w:cs="Times New Roman"/>
      <w:sz w:val="24"/>
      <w:szCs w:val="24"/>
      <w:lang w:eastAsia="en-GB"/>
    </w:rPr>
  </w:style>
  <w:style w:type="paragraph" w:customStyle="1" w:styleId="Default">
    <w:name w:val="Default"/>
    <w:rsid w:val="00CA135F"/>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CM60">
    <w:name w:val="CM60"/>
    <w:basedOn w:val="Default"/>
    <w:next w:val="Default"/>
    <w:uiPriority w:val="99"/>
    <w:rsid w:val="00CA135F"/>
    <w:rPr>
      <w:rFonts w:cstheme="minorBidi"/>
      <w:color w:val="auto"/>
    </w:rPr>
  </w:style>
  <w:style w:type="paragraph" w:customStyle="1" w:styleId="CM26">
    <w:name w:val="CM26"/>
    <w:basedOn w:val="Default"/>
    <w:next w:val="Default"/>
    <w:uiPriority w:val="99"/>
    <w:rsid w:val="00CA135F"/>
    <w:rPr>
      <w:rFonts w:cstheme="minorBidi"/>
      <w:color w:val="auto"/>
    </w:rPr>
  </w:style>
  <w:style w:type="paragraph" w:customStyle="1" w:styleId="CM62">
    <w:name w:val="CM62"/>
    <w:basedOn w:val="Default"/>
    <w:next w:val="Default"/>
    <w:uiPriority w:val="99"/>
    <w:rsid w:val="00CA135F"/>
    <w:rPr>
      <w:rFonts w:cstheme="minorBidi"/>
      <w:color w:val="auto"/>
    </w:rPr>
  </w:style>
  <w:style w:type="paragraph" w:styleId="ListParagraph">
    <w:name w:val="List Paragraph"/>
    <w:basedOn w:val="Normal"/>
    <w:uiPriority w:val="34"/>
    <w:qFormat/>
    <w:rsid w:val="00CA135F"/>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F3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4B56-2DB5-4F44-96E1-7A58EDF6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gaskin01</dc:creator>
  <cp:lastModifiedBy>Gaskin, Julia</cp:lastModifiedBy>
  <cp:revision>3</cp:revision>
  <cp:lastPrinted>2012-06-27T13:51:00Z</cp:lastPrinted>
  <dcterms:created xsi:type="dcterms:W3CDTF">2019-12-12T09:18:00Z</dcterms:created>
  <dcterms:modified xsi:type="dcterms:W3CDTF">2019-12-12T09:18:00Z</dcterms:modified>
</cp:coreProperties>
</file>